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705" w:rsidRDefault="00C17F91">
      <w:pPr>
        <w:spacing w:after="0" w:line="480" w:lineRule="auto"/>
        <w:ind w:firstLine="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Case Studies and Treatment Strategies</w:t>
      </w:r>
    </w:p>
    <w:p w:rsidR="00255705" w:rsidRDefault="00C17F91">
      <w:pPr>
        <w:spacing w:after="0" w:line="48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1. Case Study of Jerry</w:t>
      </w:r>
    </w:p>
    <w:p w:rsidR="00255705" w:rsidRDefault="00C17F91">
      <w:pPr>
        <w:spacing w:after="0" w:line="480" w:lineRule="auto"/>
        <w:ind w:firstLine="0"/>
        <w:rPr>
          <w:rFonts w:ascii="Times New Roman" w:eastAsia="Times New Roman" w:hAnsi="Times New Roman" w:cs="Times New Roman"/>
          <w:sz w:val="24"/>
          <w:szCs w:val="24"/>
        </w:rPr>
      </w:pPr>
      <w:r>
        <w:rPr>
          <w:rFonts w:ascii="Times New Roman" w:eastAsia="Times New Roman" w:hAnsi="Times New Roman" w:cs="Times New Roman"/>
          <w:b/>
          <w:sz w:val="24"/>
          <w:szCs w:val="24"/>
        </w:rPr>
        <w:t>Prescription</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Medication:</w:t>
      </w:r>
      <w:r>
        <w:rPr>
          <w:rFonts w:ascii="Times New Roman" w:eastAsia="Times New Roman" w:hAnsi="Times New Roman" w:cs="Times New Roman"/>
          <w:sz w:val="24"/>
          <w:szCs w:val="24"/>
        </w:rPr>
        <w:t xml:space="preserve"> Ambien (zolpidem)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Dose:</w:t>
      </w:r>
      <w:r>
        <w:rPr>
          <w:rFonts w:ascii="Times New Roman" w:eastAsia="Times New Roman" w:hAnsi="Times New Roman" w:cs="Times New Roman"/>
          <w:sz w:val="24"/>
          <w:szCs w:val="24"/>
        </w:rPr>
        <w:t xml:space="preserve"> 5 mg every night. Dosage may be increased to 10 mg if needed.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 xml:space="preserve">A non-benzodiazepine receptor modulator, zolpidem is mostly used to treat insomnia temporarily (Bouchette, 2022). </w:t>
      </w:r>
      <w:r>
        <w:rPr>
          <w:rFonts w:ascii="Times New Roman" w:eastAsia="Times New Roman" w:hAnsi="Times New Roman" w:cs="Times New Roman"/>
          <w:sz w:val="24"/>
          <w:szCs w:val="24"/>
        </w:rPr>
        <w:t xml:space="preserve">Starting with a lower dosage of 5 mg lowers the likelihood of side effects including dizziness and poor balance. Jerry is able to fall asleep </w:t>
      </w:r>
      <w:r>
        <w:rPr>
          <w:rFonts w:ascii="Times New Roman" w:eastAsia="Times New Roman" w:hAnsi="Times New Roman" w:cs="Times New Roman"/>
          <w:sz w:val="24"/>
          <w:szCs w:val="24"/>
        </w:rPr>
        <w:t>more quickly and remain sleeping for the whole night because to the medication's rapid onset of sleep. Jerry's unique reaction to the dose may be customized with flexibility and the possibility of titrating up to 10 mg, which reduces the chance of overmedi</w:t>
      </w:r>
      <w:r>
        <w:rPr>
          <w:rFonts w:ascii="Times New Roman" w:eastAsia="Times New Roman" w:hAnsi="Times New Roman" w:cs="Times New Roman"/>
          <w:sz w:val="24"/>
          <w:szCs w:val="24"/>
        </w:rPr>
        <w:t xml:space="preserve">cation. </w:t>
      </w:r>
    </w:p>
    <w:p w:rsidR="00255705" w:rsidRDefault="00C17F91">
      <w:pPr>
        <w:spacing w:after="0" w:line="480" w:lineRule="auto"/>
        <w:ind w:firstLine="0"/>
        <w:jc w:val="center"/>
        <w:rPr>
          <w:rFonts w:ascii="Times New Roman" w:hAnsi="Times New Roman" w:cs="Times New Roman"/>
          <w:sz w:val="24"/>
          <w:szCs w:val="24"/>
        </w:rPr>
      </w:pPr>
      <w:r>
        <w:rPr>
          <w:rFonts w:ascii="Times New Roman" w:eastAsia="Times New Roman" w:hAnsi="Times New Roman" w:cs="Times New Roman"/>
          <w:b/>
          <w:sz w:val="24"/>
          <w:szCs w:val="24"/>
        </w:rPr>
        <w:t>2. Case Study of Betty</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Betty, whose digoxin blood level was 2.9, I want to carefully modify her medication schedule because of her increased digoxin level. Hypokalemia is the most frequent cause of digoxin poisoning. Another frequent reason fo</w:t>
      </w:r>
      <w:r>
        <w:rPr>
          <w:rFonts w:ascii="Times New Roman" w:eastAsia="Times New Roman" w:hAnsi="Times New Roman" w:cs="Times New Roman"/>
          <w:sz w:val="24"/>
          <w:szCs w:val="24"/>
        </w:rPr>
        <w:t>r toxicity in the younger group is dosing mistakes (Rehman &amp; Hai, 2023). To avoid toxicity, I would advise reducing her digoxin dose. I would also keep a careful eye out for symptoms of digoxin poisoning. To monitor her progress and make sure she is respon</w:t>
      </w:r>
      <w:r>
        <w:rPr>
          <w:rFonts w:ascii="Times New Roman" w:eastAsia="Times New Roman" w:hAnsi="Times New Roman" w:cs="Times New Roman"/>
          <w:sz w:val="24"/>
          <w:szCs w:val="24"/>
        </w:rPr>
        <w:t xml:space="preserve">ding to the modified dose, regular follow-up appointments would be planned.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Prescription </w:t>
      </w:r>
      <w:r>
        <w:rPr>
          <w:rFonts w:ascii="Times New Roman" w:eastAsia="Times New Roman" w:hAnsi="Times New Roman" w:cs="Times New Roman"/>
          <w:b/>
          <w:sz w:val="24"/>
          <w:szCs w:val="24"/>
        </w:rPr>
        <w:br/>
        <w:t>Digoxin 0.125 mg:</w:t>
      </w:r>
      <w:r>
        <w:rPr>
          <w:rFonts w:ascii="Times New Roman" w:eastAsia="Times New Roman" w:hAnsi="Times New Roman" w:cs="Times New Roman"/>
          <w:sz w:val="24"/>
          <w:szCs w:val="24"/>
        </w:rPr>
        <w:t xml:space="preserve"> Take 1 pill once a day.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Betty is more vulnerable to digoxin poisoning due to her advanced age and low body weight. The danger of side ef</w:t>
      </w:r>
      <w:r>
        <w:rPr>
          <w:rFonts w:ascii="Times New Roman" w:eastAsia="Times New Roman" w:hAnsi="Times New Roman" w:cs="Times New Roman"/>
          <w:sz w:val="24"/>
          <w:szCs w:val="24"/>
        </w:rPr>
        <w:t xml:space="preserve">fects is decreased by lowering the dose to 0.125 mg. </w:t>
      </w:r>
    </w:p>
    <w:p w:rsidR="00255705" w:rsidRDefault="00C17F9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3. Case Study of Orem</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Testing</w:t>
      </w:r>
    </w:p>
    <w:p w:rsidR="00255705" w:rsidRDefault="00C17F91">
      <w:pPr>
        <w:pStyle w:val="ListParagraph"/>
        <w:numPr>
          <w:ilvl w:val="0"/>
          <w:numId w:val="1"/>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X-ray of the left shoulder and elbow to look for any abnormalities </w:t>
      </w:r>
    </w:p>
    <w:p w:rsidR="00255705" w:rsidRDefault="00C17F91">
      <w:pPr>
        <w:pStyle w:val="ListParagraph"/>
        <w:numPr>
          <w:ilvl w:val="0"/>
          <w:numId w:val="1"/>
        </w:numPr>
        <w:spacing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MRI or ultrasound to assess ligaments and tendons. </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Medication</w:t>
      </w:r>
    </w:p>
    <w:p w:rsidR="00255705" w:rsidRDefault="00C17F91">
      <w:pPr>
        <w:pStyle w:val="ListParagraph"/>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Nonsteroidal anti-inflammatory medicin</w:t>
      </w:r>
      <w:r>
        <w:rPr>
          <w:rFonts w:ascii="Times New Roman" w:eastAsia="Times New Roman" w:hAnsi="Times New Roman" w:cs="Times New Roman"/>
          <w:sz w:val="24"/>
          <w:szCs w:val="24"/>
        </w:rPr>
        <w:t xml:space="preserve">es (NSAIDs) to reduce inflammation and relieve discomfort. </w:t>
      </w:r>
    </w:p>
    <w:p w:rsidR="00255705" w:rsidRDefault="00C17F91">
      <w:pPr>
        <w:pStyle w:val="ListParagraph"/>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Topical analgesic cream to relieve pain in specific areas. </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X-rays and other advanced imaging tests may be ordered to rule out any structural abnormalities. Modern medical imaging techni</w:t>
      </w:r>
      <w:r>
        <w:rPr>
          <w:rFonts w:ascii="Times New Roman" w:eastAsia="Times New Roman" w:hAnsi="Times New Roman" w:cs="Times New Roman"/>
          <w:sz w:val="24"/>
          <w:szCs w:val="24"/>
        </w:rPr>
        <w:t>ques, such as MRI and three-dimensional ultrasound, allow for the precise and risk-free diagnosis (Hussain et al., 2022). Nonsteroidal anti-inflammatory drugs (NSAIDs) are effective in reducing swelling and discomfort caused by musculoskeletal disorders. T</w:t>
      </w:r>
      <w:r>
        <w:rPr>
          <w:rFonts w:ascii="Times New Roman" w:eastAsia="Times New Roman" w:hAnsi="Times New Roman" w:cs="Times New Roman"/>
          <w:sz w:val="24"/>
          <w:szCs w:val="24"/>
        </w:rPr>
        <w:t xml:space="preserve">opical analgesics are a good choice for Orem's elbow and shoulder pain with less side effects. </w:t>
      </w:r>
    </w:p>
    <w:p w:rsidR="00255705" w:rsidRDefault="00C17F9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4. Case Study of Grace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Grace may find relief with hormone replacement therapy (HRT). </w:t>
      </w:r>
      <w:r w:rsidR="00325444" w:rsidRPr="00325444">
        <w:rPr>
          <w:rFonts w:ascii="Times New Roman" w:eastAsia="Times New Roman" w:hAnsi="Times New Roman" w:cs="Times New Roman"/>
          <w:sz w:val="24"/>
          <w:szCs w:val="24"/>
        </w:rPr>
        <w:t xml:space="preserve">She can be prescribed a hormone replacement treatment (HRT) to lower the chance of breast cancer. A large number of cancer survivors are seeking endocrinologic treatment in the form of hormone replacement therapy (Deli et al., 2019). </w:t>
      </w:r>
      <w:bookmarkStart w:id="0" w:name="_GoBack"/>
      <w:bookmarkEnd w:id="0"/>
      <w:r>
        <w:rPr>
          <w:rFonts w:ascii="Times New Roman" w:eastAsia="Times New Roman" w:hAnsi="Times New Roman" w:cs="Times New Roman"/>
          <w:sz w:val="24"/>
          <w:szCs w:val="24"/>
        </w:rPr>
        <w:t>Hypothetical steroid tipolene has an action that</w:t>
      </w:r>
      <w:r>
        <w:rPr>
          <w:rFonts w:ascii="Times New Roman" w:eastAsia="Times New Roman" w:hAnsi="Times New Roman" w:cs="Times New Roman"/>
          <w:sz w:val="24"/>
          <w:szCs w:val="24"/>
        </w:rPr>
        <w:t xml:space="preserve"> is analogous to that of HRT. It reduces menopausal symptoms without appreciably raising the risk of breast cancer. It is </w:t>
      </w:r>
      <w:r>
        <w:rPr>
          <w:rFonts w:ascii="Times New Roman" w:eastAsia="Times New Roman" w:hAnsi="Times New Roman" w:cs="Times New Roman"/>
          <w:sz w:val="24"/>
          <w:szCs w:val="24"/>
        </w:rPr>
        <w:lastRenderedPageBreak/>
        <w:t xml:space="preserve">crucial to regularly check for any indications of recurrence or negative consequences.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Prescription</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Tibolone (Livial) 2.5 mg:</w:t>
      </w:r>
      <w:r>
        <w:rPr>
          <w:rFonts w:ascii="Times New Roman" w:eastAsia="Times New Roman" w:hAnsi="Times New Roman" w:cs="Times New Roman"/>
          <w:sz w:val="24"/>
          <w:szCs w:val="24"/>
        </w:rPr>
        <w:t xml:space="preserve"> 1 table</w:t>
      </w:r>
      <w:r>
        <w:rPr>
          <w:rFonts w:ascii="Times New Roman" w:eastAsia="Times New Roman" w:hAnsi="Times New Roman" w:cs="Times New Roman"/>
          <w:sz w:val="24"/>
          <w:szCs w:val="24"/>
        </w:rPr>
        <w:t xml:space="preserve">t daily.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Compared to estrogen-containing HRT, tibolone provides menopausal symptom alleviation with a decreased risk of breast cancer recurrence. </w:t>
      </w:r>
    </w:p>
    <w:p w:rsidR="00255705" w:rsidRDefault="00C17F9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5. Case Study of Tony</w:t>
      </w:r>
    </w:p>
    <w:p w:rsidR="00255705" w:rsidRDefault="00C17F9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One of the most prevalent benign disorders affecting the urinary system in m</w:t>
      </w:r>
      <w:r>
        <w:rPr>
          <w:rFonts w:ascii="Times New Roman" w:eastAsia="Times New Roman" w:hAnsi="Times New Roman" w:cs="Times New Roman"/>
          <w:sz w:val="24"/>
          <w:szCs w:val="24"/>
        </w:rPr>
        <w:t>iddle-aged and older men is benign prostatic hyperplasia (Yu et al., 2020). I would request testing for Tony's urinary problems. It includes urinalysis to look for urinary tract infections or other anomalies and a prostate-specific antigen (PSA) blood test</w:t>
      </w:r>
      <w:r>
        <w:rPr>
          <w:rFonts w:ascii="Times New Roman" w:eastAsia="Times New Roman" w:hAnsi="Times New Roman" w:cs="Times New Roman"/>
          <w:sz w:val="24"/>
          <w:szCs w:val="24"/>
        </w:rPr>
        <w:t xml:space="preserve"> to screen for prostate cancer. I would recommend medicine to relieve his discomfort based on the results. Tamsulosin is an alpha-blocker that improves urine flow by relaxing the muscles in the neck of the bladder and prostate. </w:t>
      </w:r>
      <w:r>
        <w:rPr>
          <w:rFonts w:ascii="Times New Roman" w:eastAsia="Times New Roman" w:hAnsi="Times New Roman" w:cs="Times New Roman"/>
          <w:b/>
          <w:sz w:val="24"/>
          <w:szCs w:val="24"/>
        </w:rPr>
        <w:t>Prescription</w:t>
      </w:r>
      <w:r>
        <w:rPr>
          <w:rFonts w:ascii="Times New Roman" w:eastAsia="Times New Roman" w:hAnsi="Times New Roman" w:cs="Times New Roman"/>
          <w:b/>
          <w:sz w:val="24"/>
          <w:szCs w:val="24"/>
        </w:rPr>
        <w:br/>
        <w:t xml:space="preserve">Tamsulosin 0.4 </w:t>
      </w:r>
      <w:r>
        <w:rPr>
          <w:rFonts w:ascii="Times New Roman" w:eastAsia="Times New Roman" w:hAnsi="Times New Roman" w:cs="Times New Roman"/>
          <w:b/>
          <w:sz w:val="24"/>
          <w:szCs w:val="24"/>
        </w:rPr>
        <w:t>mg:</w:t>
      </w:r>
      <w:r>
        <w:rPr>
          <w:rFonts w:ascii="Times New Roman" w:eastAsia="Times New Roman" w:hAnsi="Times New Roman" w:cs="Times New Roman"/>
          <w:sz w:val="24"/>
          <w:szCs w:val="24"/>
        </w:rPr>
        <w:t xml:space="preserve"> 1 capsule daily.</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Finasteride 5 mg:</w:t>
      </w:r>
      <w:r>
        <w:rPr>
          <w:rFonts w:ascii="Times New Roman" w:eastAsia="Times New Roman" w:hAnsi="Times New Roman" w:cs="Times New Roman"/>
          <w:sz w:val="24"/>
          <w:szCs w:val="24"/>
        </w:rPr>
        <w:t xml:space="preserve"> 1 tablet daily.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Tamsulosin and finasteride are frequently administered drugs to treat BPH symptoms. Tamsulosin improves urine flow and lessens symptoms like difficulty peeing and nocturia by relaxing the sm</w:t>
      </w:r>
      <w:r>
        <w:rPr>
          <w:rFonts w:ascii="Times New Roman" w:eastAsia="Times New Roman" w:hAnsi="Times New Roman" w:cs="Times New Roman"/>
          <w:sz w:val="24"/>
          <w:szCs w:val="24"/>
        </w:rPr>
        <w:t xml:space="preserve">ooth muscles in the prostate and bladder neck. Finasteride prevents testosterone from being converted to dihydrotestosterone (DHT). It shrinks the prostate gland and relieves symptoms of BPH and urinary blockage. </w:t>
      </w:r>
    </w:p>
    <w:p w:rsidR="00255705" w:rsidRDefault="00C17F91">
      <w:pPr>
        <w:spacing w:after="0" w:line="480" w:lineRule="auto"/>
        <w:ind w:firstLine="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 Case Study of Mrs. Smith</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Initial </w:t>
      </w:r>
      <w:r>
        <w:rPr>
          <w:rFonts w:ascii="Times New Roman" w:eastAsia="Times New Roman" w:hAnsi="Times New Roman" w:cs="Times New Roman"/>
          <w:b/>
          <w:sz w:val="24"/>
          <w:szCs w:val="24"/>
        </w:rPr>
        <w:t>Impression</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Given Mrs. Smith's age and African American background, suspicions of melancholy are heightened by her symptoms of growing lethargy, sleeplessness, and uncontrollable crying. When it comes to mental health, older African American individuals often encounte</w:t>
      </w:r>
      <w:r>
        <w:rPr>
          <w:rFonts w:ascii="Times New Roman" w:eastAsia="Times New Roman" w:hAnsi="Times New Roman" w:cs="Times New Roman"/>
          <w:sz w:val="24"/>
          <w:szCs w:val="24"/>
        </w:rPr>
        <w:t xml:space="preserve">r distinct socio-cultural stresses. Psychosocial stresses disproportionately affect African Americans (Mouzon, 2022). </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Treatment</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comprehensive strategy that incorporates both psychotherapy and medication is necessary for treatment. Sertraline and other s</w:t>
      </w:r>
      <w:r>
        <w:rPr>
          <w:rFonts w:ascii="Times New Roman" w:eastAsia="Times New Roman" w:hAnsi="Times New Roman" w:cs="Times New Roman"/>
          <w:sz w:val="24"/>
          <w:szCs w:val="24"/>
        </w:rPr>
        <w:t xml:space="preserve">elective serotonin reuptake inhibitors (SSRIs) are often administered to older persons because of their efficacy and tolerability. The goal of this method is to enhance Mrs. Smith's emotional and quality of life by addressing all of her symptoms.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Prescrip</w:t>
      </w:r>
      <w:r>
        <w:rPr>
          <w:rFonts w:ascii="Times New Roman" w:eastAsia="Times New Roman" w:hAnsi="Times New Roman" w:cs="Times New Roman"/>
          <w:b/>
          <w:sz w:val="24"/>
          <w:szCs w:val="24"/>
        </w:rPr>
        <w:t>tion</w:t>
      </w:r>
      <w:r>
        <w:rPr>
          <w:rFonts w:ascii="Times New Roman" w:eastAsia="Times New Roman" w:hAnsi="Times New Roman" w:cs="Times New Roman"/>
          <w:b/>
          <w:sz w:val="24"/>
          <w:szCs w:val="24"/>
        </w:rPr>
        <w:br/>
        <w:t>Medication:</w:t>
      </w:r>
      <w:r>
        <w:rPr>
          <w:rFonts w:ascii="Times New Roman" w:eastAsia="Times New Roman" w:hAnsi="Times New Roman" w:cs="Times New Roman"/>
          <w:sz w:val="24"/>
          <w:szCs w:val="24"/>
        </w:rPr>
        <w:t xml:space="preserve"> Sertraline 50 mg tablets</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Administration:</w:t>
      </w:r>
      <w:r>
        <w:rPr>
          <w:rFonts w:ascii="Times New Roman" w:eastAsia="Times New Roman" w:hAnsi="Times New Roman" w:cs="Times New Roman"/>
          <w:sz w:val="24"/>
          <w:szCs w:val="24"/>
        </w:rPr>
        <w:t xml:space="preserve"> 1 tablet daily.</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Rationale </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Sertraline's safety profile and effectiveness in treating depression in older persons, particularly African Americans, make it a recommended SSRI. It helps with sleeplessn</w:t>
      </w:r>
      <w:r>
        <w:rPr>
          <w:rFonts w:ascii="Times New Roman" w:eastAsia="Times New Roman" w:hAnsi="Times New Roman" w:cs="Times New Roman"/>
          <w:sz w:val="24"/>
          <w:szCs w:val="24"/>
        </w:rPr>
        <w:t xml:space="preserve">ess and mood swings caused by depression by raising serotonin levels in the brain. To treat depression effectively, it is best to combine medication with psychotherapy. </w:t>
      </w:r>
    </w:p>
    <w:p w:rsidR="00255705" w:rsidRDefault="00C17F9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7. Case Study of Mary</w:t>
      </w:r>
    </w:p>
    <w:p w:rsidR="00255705" w:rsidRDefault="00C17F91">
      <w:pPr>
        <w:spacing w:after="0" w:line="480" w:lineRule="auto"/>
        <w:ind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Initial Impression</w:t>
      </w:r>
    </w:p>
    <w:p w:rsidR="00255705" w:rsidRDefault="00C17F91">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A urinary tract infection (UTI) might be the </w:t>
      </w:r>
      <w:r>
        <w:rPr>
          <w:rFonts w:ascii="Times New Roman" w:eastAsia="Times New Roman" w:hAnsi="Times New Roman" w:cs="Times New Roman"/>
          <w:sz w:val="24"/>
          <w:szCs w:val="24"/>
        </w:rPr>
        <w:t xml:space="preserve">cause of Mary's symptoms, which include a high temperature, dry skin, and urine that is black and smells bad. Urinalysis and a urine culture should be performed to rule out a urinary tract infection (Bono, 2023).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Treatment</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treatment is administering a</w:t>
      </w:r>
      <w:r>
        <w:rPr>
          <w:rFonts w:ascii="Times New Roman" w:eastAsia="Times New Roman" w:hAnsi="Times New Roman" w:cs="Times New Roman"/>
          <w:sz w:val="24"/>
          <w:szCs w:val="24"/>
        </w:rPr>
        <w:t xml:space="preserve">ntibiotics to kill the germs causing the illness. Supportive interventions to treat dehydration and prevent skin breakdown must include adequate hydration and skin moisturization.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Prescription</w:t>
      </w:r>
      <w:r>
        <w:rPr>
          <w:rFonts w:ascii="Times New Roman" w:eastAsia="Times New Roman" w:hAnsi="Times New Roman" w:cs="Times New Roman"/>
          <w:b/>
          <w:sz w:val="24"/>
          <w:szCs w:val="24"/>
        </w:rPr>
        <w:br/>
        <w:t>Medication:</w:t>
      </w:r>
      <w:r>
        <w:rPr>
          <w:rFonts w:ascii="Times New Roman" w:eastAsia="Times New Roman" w:hAnsi="Times New Roman" w:cs="Times New Roman"/>
          <w:sz w:val="24"/>
          <w:szCs w:val="24"/>
        </w:rPr>
        <w:t xml:space="preserve"> 160/800 mg tablets of trimethoprim-sulfamethoxazol</w:t>
      </w:r>
      <w:r>
        <w:rPr>
          <w:rFonts w:ascii="Times New Roman" w:eastAsia="Times New Roman" w:hAnsi="Times New Roman" w:cs="Times New Roman"/>
          <w:sz w:val="24"/>
          <w:szCs w:val="24"/>
        </w:rPr>
        <w:t xml:space="preserve">e (TMP-SMX).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Administration:</w:t>
      </w:r>
      <w:r>
        <w:rPr>
          <w:rFonts w:ascii="Times New Roman" w:eastAsia="Times New Roman" w:hAnsi="Times New Roman" w:cs="Times New Roman"/>
          <w:sz w:val="24"/>
          <w:szCs w:val="24"/>
        </w:rPr>
        <w:t xml:space="preserve"> 1 tablet daily for 7 days.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Rationale </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first-line antibiotic for simple UTIs, trimethoprim-sulfamethoxazole provides broad-spectrum protection against typical uropathogens in the elderly. Staying properly hydrated aids in</w:t>
      </w:r>
      <w:r>
        <w:rPr>
          <w:rFonts w:ascii="Times New Roman" w:eastAsia="Times New Roman" w:hAnsi="Times New Roman" w:cs="Times New Roman"/>
          <w:sz w:val="24"/>
          <w:szCs w:val="24"/>
        </w:rPr>
        <w:t xml:space="preserve"> the elimination of pollutants and promotes healthy kidney function. </w:t>
      </w:r>
    </w:p>
    <w:p w:rsidR="00255705" w:rsidRDefault="00C17F9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8. Case Study of Kelly</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Naproxen alleviates pain, but it does not target osteoporosis specifically. Kelly suffers from both lumbar compression fractures and osteoprosis. To stop further b</w:t>
      </w:r>
      <w:r>
        <w:rPr>
          <w:rFonts w:ascii="Times New Roman" w:eastAsia="Times New Roman" w:hAnsi="Times New Roman" w:cs="Times New Roman"/>
          <w:sz w:val="24"/>
          <w:szCs w:val="24"/>
        </w:rPr>
        <w:t>one loss and fractures, I suggest adding bisphosphonates like zoledronic acid or alendronate. Osteoporosis and osteopenia may be safely treated with zoledronate, whereas middle-aged people can effectively increase their bone mineral density with alendronat</w:t>
      </w:r>
      <w:r>
        <w:rPr>
          <w:rFonts w:ascii="Times New Roman" w:eastAsia="Times New Roman" w:hAnsi="Times New Roman" w:cs="Times New Roman"/>
          <w:sz w:val="24"/>
          <w:szCs w:val="24"/>
        </w:rPr>
        <w:t xml:space="preserve">e (She et al., 2022). Supplements with vitamin D and calcium help maintain strong bones. An additional benefit of using Naproxen with a proton pump inhibitor (PPI) is a decreased likelihood of gastrointestinal adverse effects. This </w:t>
      </w:r>
      <w:r>
        <w:rPr>
          <w:rFonts w:ascii="Times New Roman" w:eastAsia="Times New Roman" w:hAnsi="Times New Roman" w:cs="Times New Roman"/>
          <w:sz w:val="24"/>
          <w:szCs w:val="24"/>
        </w:rPr>
        <w:lastRenderedPageBreak/>
        <w:t>complete approach will i</w:t>
      </w:r>
      <w:r>
        <w:rPr>
          <w:rFonts w:ascii="Times New Roman" w:eastAsia="Times New Roman" w:hAnsi="Times New Roman" w:cs="Times New Roman"/>
          <w:sz w:val="24"/>
          <w:szCs w:val="24"/>
        </w:rPr>
        <w:t xml:space="preserve">mprove Kelly's quality of life and reduces the chance of fracture. </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Rationale</w:t>
      </w:r>
    </w:p>
    <w:p w:rsidR="00255705" w:rsidRDefault="00C17F9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Defending against more bone loss in osteoporosis, bisphosphonates work by blocking bone resorption. The process of bone mineralization is aided by calcium and vitamin D. Reduce N</w:t>
      </w:r>
      <w:r>
        <w:rPr>
          <w:rFonts w:ascii="Times New Roman" w:eastAsia="Times New Roman" w:hAnsi="Times New Roman" w:cs="Times New Roman"/>
          <w:sz w:val="24"/>
          <w:szCs w:val="24"/>
        </w:rPr>
        <w:t>SAID-related gastrointestinal problems with proton pump inhibitors.</w:t>
      </w: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255705">
      <w:pPr>
        <w:spacing w:after="0" w:line="480" w:lineRule="auto"/>
        <w:ind w:firstLine="0"/>
        <w:jc w:val="center"/>
        <w:rPr>
          <w:rFonts w:ascii="Times New Roman" w:eastAsia="Times New Roman" w:hAnsi="Times New Roman" w:cs="Times New Roman"/>
          <w:b/>
          <w:sz w:val="24"/>
          <w:szCs w:val="24"/>
        </w:rPr>
      </w:pPr>
    </w:p>
    <w:p w:rsidR="00255705" w:rsidRDefault="00C17F91">
      <w:pPr>
        <w:spacing w:after="0" w:line="480" w:lineRule="auto"/>
        <w:ind w:firstLine="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rsidR="00255705" w:rsidRDefault="00C17F91">
      <w:pPr>
        <w:pStyle w:val="NormalWeb"/>
        <w:spacing w:after="0" w:afterAutospacing="0" w:line="480" w:lineRule="auto"/>
        <w:ind w:left="567" w:hanging="567"/>
      </w:pPr>
      <w:r>
        <w:t xml:space="preserve">Bouchette, D. (2022, October 1). </w:t>
      </w:r>
      <w:r>
        <w:rPr>
          <w:i/>
          <w:iCs/>
        </w:rPr>
        <w:t>Zolpidem</w:t>
      </w:r>
      <w:r>
        <w:t xml:space="preserve">. StatPearls [Internet]. </w:t>
      </w:r>
      <w:hyperlink r:id="rId8" w:history="1">
        <w:r>
          <w:rPr>
            <w:rStyle w:val="Hyperlink"/>
          </w:rPr>
          <w:t>https://www.ncbi.nlm.nih.gov/books/NBK442008/</w:t>
        </w:r>
      </w:hyperlink>
    </w:p>
    <w:p w:rsidR="00255705" w:rsidRDefault="00C17F91">
      <w:pPr>
        <w:pStyle w:val="NormalWeb"/>
        <w:spacing w:after="0" w:afterAutospacing="0" w:line="480" w:lineRule="auto"/>
        <w:ind w:left="567" w:hanging="567"/>
      </w:pPr>
      <w:r>
        <w:t xml:space="preserve"> Rehman, R., &amp; Hai, O. (2023, May 1). </w:t>
      </w:r>
      <w:r>
        <w:rPr>
          <w:i/>
          <w:iCs/>
        </w:rPr>
        <w:t>Digitalis toxicity</w:t>
      </w:r>
      <w:r>
        <w:t xml:space="preserve">. StatPearls [Internet]. </w:t>
      </w:r>
      <w:hyperlink r:id="rId9" w:anchor=":~:text=The%20most%20common%20trigger%20of,Hypothyroidism%2Fhyperthyroidism" w:history="1">
        <w:r>
          <w:rPr>
            <w:rStyle w:val="Hyperlink"/>
          </w:rPr>
          <w:t>https://www.ncbi.nlm.nih.gov/books/NBK459165/#:~:text=The%20most%20common%20trigger%20of,Hypothyroidism%2Fhyperthyroidism</w:t>
        </w:r>
      </w:hyperlink>
    </w:p>
    <w:p w:rsidR="00255705" w:rsidRDefault="00C17F91">
      <w:pPr>
        <w:pStyle w:val="NormalWeb"/>
        <w:spacing w:after="0" w:afterAutospacing="0" w:line="480" w:lineRule="auto"/>
        <w:ind w:left="567" w:hanging="567"/>
      </w:pPr>
      <w:r>
        <w:t>Hussain, S., Mubeen, I., Ullah, N., Shah, S. S., Khan, B. A., Zahoor, M., Ullah, R., Khan, F. A., &amp; Sultan, M. A. (20</w:t>
      </w:r>
      <w:r>
        <w:t xml:space="preserve">22). Modern diagnostic imaging technique applications and risk factors in the medical field: A Review. </w:t>
      </w:r>
      <w:r>
        <w:rPr>
          <w:i/>
          <w:iCs/>
        </w:rPr>
        <w:t>BioMed Research International</w:t>
      </w:r>
      <w:r>
        <w:t xml:space="preserve">, </w:t>
      </w:r>
      <w:r>
        <w:rPr>
          <w:i/>
          <w:iCs/>
        </w:rPr>
        <w:t>2022</w:t>
      </w:r>
      <w:r>
        <w:t xml:space="preserve">, 1–19. </w:t>
      </w:r>
      <w:hyperlink r:id="rId10" w:history="1">
        <w:r>
          <w:rPr>
            <w:rStyle w:val="Hyperlink"/>
          </w:rPr>
          <w:t>https://doi.org/10.1155/2022/5164970</w:t>
        </w:r>
      </w:hyperlink>
    </w:p>
    <w:p w:rsidR="00255705" w:rsidRDefault="00C17F91">
      <w:pPr>
        <w:pStyle w:val="NormalWeb"/>
        <w:spacing w:after="0" w:afterAutospacing="0" w:line="480" w:lineRule="auto"/>
        <w:ind w:left="567" w:hanging="567"/>
      </w:pPr>
      <w:r>
        <w:t xml:space="preserve"> Deli, T., Orosz, M.</w:t>
      </w:r>
      <w:r>
        <w:t xml:space="preserve">, &amp; Jakab, A. (2019). Hormone replacement therapy in cancer survivors – review of the literature. </w:t>
      </w:r>
      <w:r>
        <w:rPr>
          <w:i/>
          <w:iCs/>
        </w:rPr>
        <w:t>Pathology &amp;amp; Oncology Research</w:t>
      </w:r>
      <w:r>
        <w:t xml:space="preserve">, </w:t>
      </w:r>
      <w:r>
        <w:rPr>
          <w:i/>
          <w:iCs/>
        </w:rPr>
        <w:t>26</w:t>
      </w:r>
      <w:r>
        <w:t xml:space="preserve">(1), 63–78. </w:t>
      </w:r>
      <w:hyperlink r:id="rId11" w:history="1">
        <w:r>
          <w:rPr>
            <w:rStyle w:val="Hyperlink"/>
          </w:rPr>
          <w:t>https://doi.org/10.1007/s12253-018-00569-x</w:t>
        </w:r>
      </w:hyperlink>
    </w:p>
    <w:p w:rsidR="00255705" w:rsidRDefault="00C17F91">
      <w:pPr>
        <w:pStyle w:val="NormalWeb"/>
        <w:spacing w:after="0" w:afterAutospacing="0" w:line="480" w:lineRule="auto"/>
        <w:ind w:left="567" w:hanging="567"/>
      </w:pPr>
      <w:r>
        <w:t xml:space="preserve"> Yu, Z.</w:t>
      </w:r>
      <w:r>
        <w:t xml:space="preserve">-J., Yan, H.-L., Xu, F.-H., Chao, H.-C., Deng, L.-H., Xu, X.-D., Huang, J.-B., &amp; Zeng, T. (2020). Efficacy and side effects of drugs commonly used for the treatment of lower urinary tract symptoms associated with benign prostatic hyperplasia. </w:t>
      </w:r>
      <w:r>
        <w:rPr>
          <w:i/>
          <w:iCs/>
        </w:rPr>
        <w:t xml:space="preserve">Frontiers in </w:t>
      </w:r>
      <w:r>
        <w:rPr>
          <w:i/>
          <w:iCs/>
        </w:rPr>
        <w:t>Pharmacology</w:t>
      </w:r>
      <w:r>
        <w:t xml:space="preserve">, </w:t>
      </w:r>
      <w:r>
        <w:rPr>
          <w:i/>
          <w:iCs/>
        </w:rPr>
        <w:t>11</w:t>
      </w:r>
      <w:r>
        <w:t xml:space="preserve">. </w:t>
      </w:r>
      <w:hyperlink r:id="rId12" w:history="1">
        <w:r>
          <w:rPr>
            <w:rStyle w:val="Hyperlink"/>
          </w:rPr>
          <w:t>https://doi.org/10.3389/fphar.2020.00658</w:t>
        </w:r>
      </w:hyperlink>
    </w:p>
    <w:p w:rsidR="00255705" w:rsidRDefault="00C17F91">
      <w:pPr>
        <w:pStyle w:val="NormalWeb"/>
        <w:spacing w:after="0" w:afterAutospacing="0" w:line="480" w:lineRule="auto"/>
        <w:ind w:left="567" w:hanging="567"/>
      </w:pPr>
      <w:r>
        <w:t xml:space="preserve"> Mouzon, D. M. (2022). Chronic stress, coping, and mental health among older African Americans. </w:t>
      </w:r>
      <w:r>
        <w:rPr>
          <w:i/>
          <w:iCs/>
        </w:rPr>
        <w:t>Journal of Aging and Health</w:t>
      </w:r>
      <w:r>
        <w:t xml:space="preserve">, </w:t>
      </w:r>
      <w:r>
        <w:rPr>
          <w:i/>
          <w:iCs/>
        </w:rPr>
        <w:t>34</w:t>
      </w:r>
      <w:r>
        <w:t xml:space="preserve">(3), 347–362. </w:t>
      </w:r>
      <w:hyperlink r:id="rId13" w:history="1">
        <w:r>
          <w:rPr>
            <w:rStyle w:val="Hyperlink"/>
          </w:rPr>
          <w:t>https://doi.org/10.1177/08982643221085805</w:t>
        </w:r>
      </w:hyperlink>
    </w:p>
    <w:p w:rsidR="00255705" w:rsidRDefault="00C17F91">
      <w:pPr>
        <w:pStyle w:val="NormalWeb"/>
        <w:spacing w:after="0" w:afterAutospacing="0" w:line="480" w:lineRule="auto"/>
        <w:ind w:left="567" w:hanging="567"/>
      </w:pPr>
      <w:r>
        <w:lastRenderedPageBreak/>
        <w:t xml:space="preserve"> Bono, M. J. (2023, November 13). </w:t>
      </w:r>
      <w:r>
        <w:rPr>
          <w:i/>
          <w:iCs/>
        </w:rPr>
        <w:t>Uncomplicated urinary tract infections</w:t>
      </w:r>
      <w:r>
        <w:t xml:space="preserve">. StatPearls [Internet]. </w:t>
      </w:r>
      <w:hyperlink r:id="rId14" w:history="1">
        <w:r>
          <w:rPr>
            <w:rStyle w:val="Hyperlink"/>
          </w:rPr>
          <w:t>https://www.ncbi.nlm.nih.gov/books/NBK470195/</w:t>
        </w:r>
      </w:hyperlink>
    </w:p>
    <w:p w:rsidR="00255705" w:rsidRDefault="00C17F91">
      <w:pPr>
        <w:pStyle w:val="NormalWeb"/>
        <w:spacing w:after="0" w:afterAutospacing="0" w:line="480" w:lineRule="auto"/>
        <w:ind w:left="567" w:hanging="567"/>
      </w:pPr>
      <w:r>
        <w:t xml:space="preserve"> She, W., Xie, H., Hu, Q., Pan, X., Liang, Y., Xu, H., &amp; Gu, J. (2022). Comparative efficacy and safety of bisphosphonate therapy for bone loss in individuals after middle age: A systematic rev</w:t>
      </w:r>
      <w:r>
        <w:t xml:space="preserve">iew and network meta-analysis. </w:t>
      </w:r>
      <w:r>
        <w:rPr>
          <w:i/>
          <w:iCs/>
        </w:rPr>
        <w:t>Nano TransMed</w:t>
      </w:r>
      <w:r>
        <w:t xml:space="preserve">, </w:t>
      </w:r>
      <w:r>
        <w:rPr>
          <w:i/>
          <w:iCs/>
        </w:rPr>
        <w:t>1</w:t>
      </w:r>
      <w:r>
        <w:t xml:space="preserve">(1), 9130003. </w:t>
      </w:r>
      <w:hyperlink r:id="rId15" w:history="1">
        <w:r>
          <w:rPr>
            <w:rStyle w:val="Hyperlink"/>
          </w:rPr>
          <w:t>https://doi.org/10.26599/ntm.2022.9130003</w:t>
        </w:r>
      </w:hyperlink>
    </w:p>
    <w:p w:rsidR="00255705" w:rsidRDefault="00C17F91">
      <w:pPr>
        <w:pStyle w:val="NormalWeb"/>
        <w:spacing w:after="0" w:afterAutospacing="0" w:line="480" w:lineRule="auto"/>
        <w:ind w:left="567" w:hanging="567"/>
      </w:pPr>
      <w:r>
        <w:t xml:space="preserve"> </w:t>
      </w:r>
    </w:p>
    <w:p w:rsidR="00255705" w:rsidRDefault="00255705">
      <w:pPr>
        <w:pStyle w:val="NormalWeb"/>
        <w:spacing w:after="0" w:afterAutospacing="0" w:line="480" w:lineRule="auto"/>
        <w:ind w:left="567" w:hanging="567"/>
      </w:pPr>
    </w:p>
    <w:p w:rsidR="00255705" w:rsidRDefault="00255705">
      <w:pPr>
        <w:pStyle w:val="NormalWeb"/>
        <w:spacing w:after="0" w:afterAutospacing="0" w:line="480" w:lineRule="auto"/>
        <w:ind w:left="567" w:hanging="567"/>
      </w:pPr>
    </w:p>
    <w:p w:rsidR="00255705" w:rsidRDefault="00255705">
      <w:pPr>
        <w:pStyle w:val="NormalWeb"/>
        <w:spacing w:after="0" w:afterAutospacing="0" w:line="480" w:lineRule="auto"/>
        <w:ind w:left="567" w:hanging="567"/>
      </w:pPr>
    </w:p>
    <w:p w:rsidR="00255705" w:rsidRDefault="00255705">
      <w:pPr>
        <w:pStyle w:val="NormalWeb"/>
        <w:spacing w:after="0" w:afterAutospacing="0" w:line="480" w:lineRule="auto"/>
        <w:ind w:left="567" w:hanging="567"/>
      </w:pPr>
    </w:p>
    <w:p w:rsidR="00255705" w:rsidRDefault="00255705">
      <w:pPr>
        <w:pStyle w:val="NormalWeb"/>
        <w:spacing w:after="0" w:afterAutospacing="0" w:line="480" w:lineRule="auto"/>
        <w:ind w:left="567" w:hanging="567"/>
      </w:pPr>
    </w:p>
    <w:p w:rsidR="00255705" w:rsidRDefault="00255705">
      <w:pPr>
        <w:pStyle w:val="NormalWeb"/>
        <w:spacing w:after="0" w:afterAutospacing="0" w:line="480" w:lineRule="auto"/>
      </w:pPr>
    </w:p>
    <w:sectPr w:rsidR="00255705">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F91" w:rsidRDefault="00C17F91">
      <w:pPr>
        <w:spacing w:line="240" w:lineRule="auto"/>
      </w:pPr>
      <w:r>
        <w:separator/>
      </w:r>
    </w:p>
  </w:endnote>
  <w:endnote w:type="continuationSeparator" w:id="0">
    <w:p w:rsidR="00C17F91" w:rsidRDefault="00C17F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5705" w:rsidRDefault="002557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F91" w:rsidRDefault="00C17F91">
      <w:pPr>
        <w:spacing w:after="0"/>
      </w:pPr>
      <w:r>
        <w:separator/>
      </w:r>
    </w:p>
  </w:footnote>
  <w:footnote w:type="continuationSeparator" w:id="0">
    <w:p w:rsidR="00C17F91" w:rsidRDefault="00C17F9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5705" w:rsidRDefault="00C17F91">
    <w:pPr>
      <w:pStyle w:val="Header"/>
      <w:ind w:firstLine="0"/>
      <w:jc w:val="both"/>
    </w:pPr>
    <w:r>
      <w:t xml:space="preserve">Case Studies and </w:t>
    </w:r>
    <w:r>
      <w:t>Treatment strategies</w:t>
    </w:r>
    <w:r>
      <w:tab/>
    </w:r>
    <w:r>
      <w:tab/>
    </w:r>
    <w:sdt>
      <w:sdtPr>
        <w:id w:val="-1110430746"/>
        <w:docPartObj>
          <w:docPartGallery w:val="AutoText"/>
        </w:docPartObj>
      </w:sdtPr>
      <w:sdtEndPr/>
      <w:sdtContent>
        <w:r>
          <w:fldChar w:fldCharType="begin"/>
        </w:r>
        <w:r>
          <w:instrText xml:space="preserve"> PAGE   \* MERGEFORMAT </w:instrText>
        </w:r>
        <w:r>
          <w:fldChar w:fldCharType="separate"/>
        </w:r>
        <w:r w:rsidR="00325444">
          <w:rPr>
            <w:noProof/>
          </w:rPr>
          <w:t>3</w:t>
        </w:r>
        <w: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E0D3B"/>
    <w:multiLevelType w:val="multilevel"/>
    <w:tmpl w:val="18AE0D3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BA133A4"/>
    <w:multiLevelType w:val="multilevel"/>
    <w:tmpl w:val="4BA133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B05"/>
    <w:rsid w:val="00007A94"/>
    <w:rsid w:val="00110A8C"/>
    <w:rsid w:val="001E33D2"/>
    <w:rsid w:val="001F6EBD"/>
    <w:rsid w:val="00255705"/>
    <w:rsid w:val="00325444"/>
    <w:rsid w:val="003B5355"/>
    <w:rsid w:val="0052508E"/>
    <w:rsid w:val="00566518"/>
    <w:rsid w:val="006146E0"/>
    <w:rsid w:val="007D3C26"/>
    <w:rsid w:val="009B3B05"/>
    <w:rsid w:val="009D615B"/>
    <w:rsid w:val="009E187B"/>
    <w:rsid w:val="00B46DAD"/>
    <w:rsid w:val="00B514F5"/>
    <w:rsid w:val="00BE56F9"/>
    <w:rsid w:val="00BE68DA"/>
    <w:rsid w:val="00C17F91"/>
    <w:rsid w:val="00D65103"/>
    <w:rsid w:val="00E82F48"/>
    <w:rsid w:val="00F7131E"/>
    <w:rsid w:val="00F7771B"/>
    <w:rsid w:val="00F945CF"/>
    <w:rsid w:val="5AEF0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59999B-5AEF-4DD5-AA2D-D387652D1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ind w:firstLine="7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ind w:firstLine="0"/>
    </w:pPr>
    <w:rPr>
      <w:rFonts w:ascii="Times New Roman" w:eastAsia="Times New Roman" w:hAnsi="Times New Roman" w:cs="Times New Roman"/>
      <w:sz w:val="24"/>
      <w:szCs w:val="24"/>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ooks/NBK442008/" TargetMode="External"/><Relationship Id="rId13" Type="http://schemas.openxmlformats.org/officeDocument/2006/relationships/hyperlink" Target="https://doi.org/10.1177/08982643221085805"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389/fphar.2020.0065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7/s12253-018-00569-x" TargetMode="External"/><Relationship Id="rId5" Type="http://schemas.openxmlformats.org/officeDocument/2006/relationships/webSettings" Target="webSettings.xml"/><Relationship Id="rId15" Type="http://schemas.openxmlformats.org/officeDocument/2006/relationships/hyperlink" Target="https://doi.org/10.26599/ntm.2022.9130003" TargetMode="External"/><Relationship Id="rId10" Type="http://schemas.openxmlformats.org/officeDocument/2006/relationships/hyperlink" Target="https://doi.org/10.1155/2022/516497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ncbi.nlm.nih.gov/books/NBK459165/" TargetMode="External"/><Relationship Id="rId14" Type="http://schemas.openxmlformats.org/officeDocument/2006/relationships/hyperlink" Target="https://www.ncbi.nlm.nih.gov/books/NBK4701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A8605A-F1CC-4B97-BAA1-BAC1C2F03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1452</Words>
  <Characters>8282</Characters>
  <Application>Microsoft Office Word</Application>
  <DocSecurity>0</DocSecurity>
  <Lines>69</Lines>
  <Paragraphs>19</Paragraphs>
  <ScaleCrop>false</ScaleCrop>
  <Company/>
  <LinksUpToDate>false</LinksUpToDate>
  <CharactersWithSpaces>9715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AAmir</dc:creator>
  <cp:lastModifiedBy>AAmir</cp:lastModifiedBy>
  <cp:revision>8</cp:revision>
  <dcterms:created xsi:type="dcterms:W3CDTF">2024-03-16T17:49:00Z</dcterms:created>
  <dcterms:modified xsi:type="dcterms:W3CDTF">2024-03-16T20:44:00Z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3A71C9BA2D7D426AAEFC43602B355D66_12</vt:lpwstr>
  </property>
</Properties>
</file>